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406" w:rsidRPr="00923406" w:rsidRDefault="00923406" w:rsidP="00923406">
      <w:pPr>
        <w:pageBreakBefore/>
        <w:shd w:val="clear" w:color="auto" w:fill="002060"/>
        <w:spacing w:after="200" w:line="276" w:lineRule="auto"/>
        <w:ind w:right="-285"/>
        <w:jc w:val="center"/>
        <w:outlineLvl w:val="0"/>
        <w:rPr>
          <w:rFonts w:ascii="Calibri" w:eastAsia="SimSun" w:hAnsi="Calibri"/>
          <w:b/>
          <w:color w:val="FFFFFF"/>
        </w:rPr>
      </w:pPr>
      <w:r w:rsidRPr="00923406">
        <w:rPr>
          <w:rFonts w:ascii="Calibri" w:eastAsia="SimSun" w:hAnsi="Calibri"/>
          <w:b/>
          <w:color w:val="FFFFFF"/>
          <w:u w:val="single"/>
        </w:rPr>
        <w:t>Target 5.a</w:t>
      </w:r>
      <w:r w:rsidRPr="00923406">
        <w:rPr>
          <w:rFonts w:ascii="Calibri" w:eastAsia="SimSun" w:hAnsi="Calibri"/>
          <w:b/>
          <w:color w:val="FFFFFF"/>
        </w:rPr>
        <w:t xml:space="preserve"> </w:t>
      </w:r>
      <w:r w:rsidRPr="00923406">
        <w:rPr>
          <w:rFonts w:ascii="Calibri" w:eastAsia="SimSun" w:hAnsi="Calibri"/>
          <w:b/>
          <w:color w:val="FFFFFF"/>
        </w:rPr>
        <w:br/>
        <w:t>“Undertake reforms to give women equal rights to economic resources, as well as access to ownership and control over land and other forms of property, financial services, inheritance and natural resources, in accordance with national laws”</w:t>
      </w:r>
    </w:p>
    <w:p w:rsidR="00923406" w:rsidRPr="00923406" w:rsidRDefault="00923406" w:rsidP="00923406">
      <w:pPr>
        <w:spacing w:after="200" w:line="276" w:lineRule="auto"/>
        <w:ind w:right="-285"/>
        <w:jc w:val="center"/>
        <w:rPr>
          <w:rFonts w:eastAsia="SimSun" w:cs="Calibri"/>
          <w:color w:val="00000A"/>
          <w:sz w:val="4"/>
          <w:szCs w:val="22"/>
        </w:rPr>
      </w:pPr>
    </w:p>
    <w:p w:rsidR="00923406" w:rsidRPr="00923406" w:rsidRDefault="00923406" w:rsidP="00923406">
      <w:pPr>
        <w:pBdr>
          <w:top w:val="nil"/>
          <w:left w:val="nil"/>
          <w:bottom w:val="nil"/>
          <w:right w:val="nil"/>
          <w:between w:val="nil"/>
          <w:bar w:val="nil"/>
        </w:pBdr>
        <w:spacing w:after="120" w:line="276" w:lineRule="auto"/>
        <w:ind w:right="-285"/>
        <w:jc w:val="both"/>
        <w:rPr>
          <w:rFonts w:ascii="Calibri" w:eastAsia="Calibri" w:hAnsi="Calibri" w:cs="Calibri"/>
          <w:i/>
          <w:sz w:val="22"/>
          <w:szCs w:val="22"/>
          <w:u w:color="000000"/>
          <w:bdr w:val="nil"/>
          <w:lang w:eastAsia="en-GB"/>
        </w:rPr>
      </w:pPr>
      <w:r w:rsidRPr="00923406">
        <w:rPr>
          <w:rFonts w:ascii="Calibri" w:eastAsia="Calibri" w:hAnsi="Calibri" w:cs="Calibri"/>
          <w:i/>
          <w:sz w:val="22"/>
          <w:szCs w:val="22"/>
          <w:u w:color="000000"/>
          <w:bdr w:val="nil"/>
          <w:lang w:eastAsia="en-GB"/>
        </w:rPr>
        <w:t>FAO suggests that an indicator focused on rights and the legal framework may be more appropriate to monitor Target 5.a adequately, while the outcome indicator contained in the UN Statistical Division’s February and May preliminary lists would be better suited to target 1.4 (see corresponding factsheet page 7). As an alternative to the current indicator on landowners in this list for target 5.a, FAO proposes the following rights-based indicator:</w:t>
      </w:r>
    </w:p>
    <w:p w:rsidR="00923406" w:rsidRPr="00923406" w:rsidRDefault="00923406" w:rsidP="00923406">
      <w:pPr>
        <w:pBdr>
          <w:top w:val="nil"/>
          <w:left w:val="nil"/>
          <w:bottom w:val="nil"/>
          <w:right w:val="nil"/>
          <w:between w:val="nil"/>
          <w:bar w:val="nil"/>
        </w:pBdr>
        <w:spacing w:after="120" w:line="276" w:lineRule="auto"/>
        <w:ind w:right="-285"/>
        <w:jc w:val="both"/>
        <w:rPr>
          <w:rFonts w:ascii="Calibri" w:eastAsia="Calibri" w:hAnsi="Calibri" w:cs="Calibri"/>
          <w:sz w:val="22"/>
          <w:szCs w:val="22"/>
          <w:u w:color="000000"/>
          <w:bdr w:val="nil"/>
          <w:lang w:eastAsia="en-GB"/>
        </w:rPr>
      </w:pPr>
      <w:r w:rsidRPr="00923406">
        <w:rPr>
          <w:rFonts w:ascii="Calibri" w:eastAsia="Calibri" w:hAnsi="Calibri" w:cs="Calibri"/>
          <w:sz w:val="22"/>
          <w:szCs w:val="22"/>
          <w:u w:color="000000"/>
          <w:bdr w:val="nil"/>
          <w:lang w:eastAsia="en-GB"/>
        </w:rPr>
        <w:t>“The legal framework includes special measures to guarantee women’s equal rights to land, property or other productive resources”</w:t>
      </w:r>
    </w:p>
    <w:p w:rsidR="00923406" w:rsidRPr="00923406" w:rsidRDefault="00923406" w:rsidP="00923406">
      <w:pPr>
        <w:pBdr>
          <w:top w:val="nil"/>
          <w:left w:val="nil"/>
          <w:bottom w:val="nil"/>
          <w:right w:val="nil"/>
          <w:between w:val="nil"/>
          <w:bar w:val="nil"/>
        </w:pBdr>
        <w:spacing w:after="120" w:line="276" w:lineRule="auto"/>
        <w:ind w:right="-285"/>
        <w:jc w:val="both"/>
        <w:rPr>
          <w:rFonts w:ascii="Calibri" w:eastAsia="Calibri" w:hAnsi="Calibri" w:cs="Calibri"/>
          <w:i/>
          <w:sz w:val="22"/>
          <w:szCs w:val="22"/>
          <w:u w:color="000000"/>
          <w:bdr w:val="nil"/>
          <w:lang w:eastAsia="en-GB"/>
        </w:rPr>
      </w:pPr>
      <w:r w:rsidRPr="00923406">
        <w:rPr>
          <w:rFonts w:ascii="Calibri" w:eastAsia="Calibri" w:hAnsi="Calibri" w:cs="Calibri"/>
          <w:i/>
          <w:sz w:val="22"/>
          <w:szCs w:val="22"/>
          <w:u w:color="000000"/>
          <w:bdr w:val="nil"/>
          <w:lang w:eastAsia="en-GB"/>
        </w:rPr>
        <w:t>The indicator is based on rights and focuses on the legal framework. This makes it more appropriate and valid to monitor Target 5.</w:t>
      </w:r>
      <w:proofErr w:type="spellStart"/>
      <w:r w:rsidRPr="00923406">
        <w:rPr>
          <w:rFonts w:ascii="Calibri" w:eastAsia="Calibri" w:hAnsi="Calibri" w:cs="Calibri"/>
          <w:i/>
          <w:sz w:val="22"/>
          <w:szCs w:val="22"/>
          <w:u w:color="000000"/>
          <w:bdr w:val="nil"/>
          <w:lang w:eastAsia="en-GB"/>
        </w:rPr>
        <w:t>a</w:t>
      </w:r>
      <w:proofErr w:type="spellEnd"/>
      <w:r w:rsidRPr="00923406">
        <w:rPr>
          <w:rFonts w:ascii="Calibri" w:eastAsia="Calibri" w:hAnsi="Calibri" w:cs="Calibri"/>
          <w:i/>
          <w:sz w:val="22"/>
          <w:szCs w:val="22"/>
          <w:u w:color="000000"/>
          <w:bdr w:val="nil"/>
          <w:lang w:eastAsia="en-GB"/>
        </w:rPr>
        <w:t xml:space="preserve"> which focuses on legal reform processes. The indicator </w:t>
      </w:r>
      <w:r w:rsidRPr="00923406">
        <w:rPr>
          <w:rFonts w:ascii="Calibri" w:eastAsia="Calibri" w:hAnsi="Calibri" w:cs="Calibri"/>
          <w:b/>
          <w:i/>
          <w:sz w:val="22"/>
          <w:szCs w:val="22"/>
          <w:u w:color="000000"/>
          <w:bdr w:val="nil"/>
          <w:lang w:eastAsia="en-GB"/>
        </w:rPr>
        <w:t>monitors reforms</w:t>
      </w:r>
      <w:r w:rsidRPr="00923406">
        <w:rPr>
          <w:rFonts w:ascii="Calibri" w:eastAsia="Calibri" w:hAnsi="Calibri" w:cs="Calibri"/>
          <w:i/>
          <w:sz w:val="22"/>
          <w:szCs w:val="22"/>
          <w:u w:color="000000"/>
          <w:bdr w:val="nil"/>
          <w:lang w:eastAsia="en-GB"/>
        </w:rPr>
        <w:t xml:space="preserve"> to guarantee women’s equal rights to economic resources, as well as access to ownership and control over land through the use of special measures. More specifically, the indicator allows for monitoring progress towards gender equity through the </w:t>
      </w:r>
      <w:r w:rsidRPr="00923406">
        <w:rPr>
          <w:rFonts w:ascii="Calibri" w:eastAsia="Calibri" w:hAnsi="Calibri" w:cs="Calibri"/>
          <w:b/>
          <w:i/>
          <w:sz w:val="22"/>
          <w:szCs w:val="22"/>
          <w:u w:color="000000"/>
          <w:bdr w:val="nil"/>
          <w:lang w:eastAsia="en-GB"/>
        </w:rPr>
        <w:t>adoption of women-specific measures</w:t>
      </w:r>
      <w:r w:rsidRPr="00923406">
        <w:rPr>
          <w:rFonts w:ascii="Calibri" w:eastAsia="Calibri" w:hAnsi="Calibri" w:cs="Calibri"/>
          <w:i/>
          <w:sz w:val="22"/>
          <w:szCs w:val="22"/>
          <w:u w:color="000000"/>
          <w:bdr w:val="nil"/>
          <w:lang w:eastAsia="en-GB"/>
        </w:rPr>
        <w:t xml:space="preserve"> to strengthen women’s secure rights to land and other productive resources. The proposed indicator is supported also by a number of international instruments and, in particular, monitors legal reforms that guarantee women’s land rights and increase their access and ownership of land or other productive resources. The indicator also provides a good indication of </w:t>
      </w:r>
      <w:r w:rsidRPr="00923406">
        <w:rPr>
          <w:rFonts w:ascii="Calibri" w:eastAsia="Calibri" w:hAnsi="Calibri" w:cs="Calibri"/>
          <w:b/>
          <w:i/>
          <w:sz w:val="22"/>
          <w:szCs w:val="22"/>
          <w:u w:color="000000"/>
          <w:bdr w:val="nil"/>
          <w:lang w:eastAsia="en-GB"/>
        </w:rPr>
        <w:t>governments’ efforts</w:t>
      </w:r>
      <w:r w:rsidRPr="00923406">
        <w:rPr>
          <w:rFonts w:ascii="Calibri" w:eastAsia="Calibri" w:hAnsi="Calibri" w:cs="Calibri"/>
          <w:i/>
          <w:sz w:val="22"/>
          <w:szCs w:val="22"/>
          <w:u w:color="000000"/>
          <w:bdr w:val="nil"/>
          <w:lang w:eastAsia="en-GB"/>
        </w:rPr>
        <w:t xml:space="preserve"> to move towards the realization of women’s land rights and more gender-equal land tenure. </w:t>
      </w:r>
    </w:p>
    <w:p w:rsidR="00923406" w:rsidRPr="00923406" w:rsidRDefault="00923406" w:rsidP="00923406">
      <w:pPr>
        <w:pBdr>
          <w:top w:val="nil"/>
          <w:left w:val="nil"/>
          <w:bottom w:val="nil"/>
          <w:right w:val="nil"/>
          <w:between w:val="nil"/>
          <w:bar w:val="nil"/>
        </w:pBdr>
        <w:spacing w:after="120" w:line="276" w:lineRule="auto"/>
        <w:ind w:right="-285"/>
        <w:jc w:val="both"/>
        <w:rPr>
          <w:rFonts w:ascii="Calibri" w:eastAsia="Calibri" w:hAnsi="Calibri" w:cs="Calibri"/>
          <w:i/>
          <w:sz w:val="22"/>
          <w:szCs w:val="22"/>
          <w:u w:color="000000"/>
          <w:bdr w:val="nil"/>
          <w:lang w:eastAsia="en-GB"/>
        </w:rPr>
      </w:pPr>
      <w:r w:rsidRPr="00923406">
        <w:rPr>
          <w:rFonts w:ascii="Calibri" w:eastAsia="Calibri" w:hAnsi="Calibri" w:cs="Calibri"/>
          <w:i/>
          <w:sz w:val="22"/>
          <w:szCs w:val="22"/>
          <w:u w:color="000000"/>
          <w:bdr w:val="nil"/>
          <w:lang w:eastAsia="en-GB"/>
        </w:rPr>
        <w:t>For more information on this indicator, please see the relevant factsheet below.</w:t>
      </w:r>
    </w:p>
    <w:p w:rsidR="00923406" w:rsidRPr="00923406" w:rsidRDefault="00923406" w:rsidP="00923406">
      <w:pPr>
        <w:rPr>
          <w:rFonts w:eastAsia="SimSun" w:cs="Calibri"/>
          <w:color w:val="auto"/>
          <w:szCs w:val="22"/>
          <w:shd w:val="clear" w:color="auto" w:fill="99FF99"/>
        </w:rPr>
      </w:pPr>
      <w:bookmarkStart w:id="0" w:name="Indicator_5_a_1"/>
      <w:r w:rsidRPr="00923406">
        <w:rPr>
          <w:rFonts w:eastAsia="SimSun" w:cs="Calibri"/>
          <w:color w:val="auto"/>
          <w:szCs w:val="22"/>
          <w:shd w:val="clear" w:color="auto" w:fill="99FF99"/>
        </w:rPr>
        <w:br w:type="page"/>
      </w:r>
    </w:p>
    <w:p w:rsidR="00923406" w:rsidRPr="00923406" w:rsidRDefault="00923406" w:rsidP="00923406">
      <w:pPr>
        <w:shd w:val="clear" w:color="auto" w:fill="99FF99"/>
        <w:spacing w:after="200" w:line="276" w:lineRule="auto"/>
        <w:ind w:right="-285"/>
        <w:jc w:val="center"/>
        <w:rPr>
          <w:rFonts w:ascii="Calibri" w:eastAsia="SimSun" w:hAnsi="Calibri"/>
          <w:b/>
          <w:color w:val="auto"/>
        </w:rPr>
      </w:pPr>
      <w:hyperlink w:anchor="List_of_indicators" w:history="1">
        <w:r w:rsidRPr="00923406">
          <w:rPr>
            <w:rFonts w:ascii="Calibri" w:eastAsia="SimSun" w:hAnsi="Calibri"/>
            <w:b/>
            <w:color w:val="auto"/>
            <w:shd w:val="clear" w:color="auto" w:fill="99FF99"/>
          </w:rPr>
          <w:t xml:space="preserve">Indicator </w:t>
        </w:r>
      </w:hyperlink>
      <w:r w:rsidRPr="00923406">
        <w:rPr>
          <w:rFonts w:ascii="Calibri" w:eastAsia="SimSun" w:hAnsi="Calibri"/>
          <w:b/>
          <w:color w:val="auto"/>
          <w:shd w:val="clear" w:color="auto" w:fill="99FF99"/>
        </w:rPr>
        <w:t>5.a.1</w:t>
      </w:r>
      <w:bookmarkEnd w:id="0"/>
      <w:r w:rsidRPr="00923406">
        <w:rPr>
          <w:rFonts w:ascii="Calibri" w:eastAsia="SimSun" w:hAnsi="Calibri"/>
          <w:b/>
          <w:color w:val="auto"/>
          <w:shd w:val="clear" w:color="auto" w:fill="99FF99"/>
        </w:rPr>
        <w:t xml:space="preserve"> (Core</w:t>
      </w:r>
      <w:proofErr w:type="gramStart"/>
      <w:r w:rsidRPr="00923406">
        <w:rPr>
          <w:rFonts w:ascii="Calibri" w:eastAsia="SimSun" w:hAnsi="Calibri"/>
          <w:b/>
          <w:color w:val="auto"/>
          <w:shd w:val="clear" w:color="auto" w:fill="99FF99"/>
        </w:rPr>
        <w:t>)</w:t>
      </w:r>
      <w:proofErr w:type="gramEnd"/>
      <w:r w:rsidRPr="00923406">
        <w:rPr>
          <w:rFonts w:ascii="Calibri" w:eastAsia="SimSun" w:hAnsi="Calibri"/>
          <w:b/>
          <w:color w:val="auto"/>
          <w:shd w:val="clear" w:color="auto" w:fill="99FF99"/>
        </w:rPr>
        <w:br/>
        <w:t>“</w:t>
      </w:r>
      <w:r w:rsidRPr="00923406">
        <w:rPr>
          <w:rFonts w:ascii="Calibri" w:eastAsia="SimSun" w:hAnsi="Calibri"/>
          <w:color w:val="auto"/>
          <w:shd w:val="clear" w:color="auto" w:fill="99FF99"/>
        </w:rPr>
        <w:t xml:space="preserve">The legal framework includes special measures to guarantee </w:t>
      </w:r>
      <w:r w:rsidRPr="00923406">
        <w:rPr>
          <w:rFonts w:ascii="Calibri" w:eastAsia="SimSun" w:hAnsi="Calibri"/>
          <w:color w:val="auto"/>
        </w:rPr>
        <w:t>women’s equal rights to landownership and control”</w:t>
      </w:r>
    </w:p>
    <w:p w:rsidR="00923406" w:rsidRPr="00923406" w:rsidRDefault="00923406" w:rsidP="00923406">
      <w:pPr>
        <w:keepNext/>
        <w:numPr>
          <w:ilvl w:val="0"/>
          <w:numId w:val="4"/>
        </w:numPr>
        <w:suppressAutoHyphens/>
        <w:spacing w:before="480" w:after="200" w:line="276" w:lineRule="auto"/>
        <w:ind w:right="-285"/>
        <w:outlineLvl w:val="2"/>
        <w:rPr>
          <w:rFonts w:ascii="Calibri" w:eastAsia="Calibri" w:hAnsi="Calibri" w:cs="Arial"/>
          <w:b/>
          <w:color w:val="auto"/>
          <w:sz w:val="22"/>
          <w:szCs w:val="25"/>
        </w:rPr>
      </w:pPr>
      <w:r w:rsidRPr="00923406">
        <w:rPr>
          <w:rFonts w:ascii="Calibri" w:eastAsia="Times New Roman" w:hAnsi="Calibri"/>
          <w:b/>
          <w:bCs/>
          <w:iCs/>
          <w:color w:val="auto"/>
          <w:sz w:val="22"/>
          <w:szCs w:val="22"/>
        </w:rPr>
        <w:t>Precise</w:t>
      </w:r>
      <w:r w:rsidRPr="00923406">
        <w:rPr>
          <w:rFonts w:ascii="Calibri" w:eastAsia="Times New Roman" w:hAnsi="Calibri"/>
          <w:b/>
          <w:bCs/>
          <w:color w:val="auto"/>
          <w:sz w:val="22"/>
          <w:szCs w:val="22"/>
        </w:rPr>
        <w:t xml:space="preserve"> definition of the indicator</w:t>
      </w:r>
      <w:r w:rsidRPr="00923406">
        <w:rPr>
          <w:rFonts w:ascii="Calibri" w:eastAsia="Calibri" w:hAnsi="Calibri" w:cs="Arial"/>
          <w:b/>
          <w:color w:val="auto"/>
          <w:sz w:val="22"/>
          <w:szCs w:val="25"/>
        </w:rPr>
        <w:t xml:space="preserve"> </w:t>
      </w:r>
    </w:p>
    <w:p w:rsidR="00923406" w:rsidRPr="00923406" w:rsidRDefault="00923406" w:rsidP="00923406">
      <w:pPr>
        <w:suppressAutoHyphens/>
        <w:spacing w:line="276" w:lineRule="auto"/>
        <w:ind w:right="-285"/>
        <w:rPr>
          <w:rFonts w:ascii="Calibri" w:eastAsia="SimSun" w:hAnsi="Calibri" w:cs="Calibri"/>
          <w:color w:val="00000A"/>
          <w:sz w:val="18"/>
          <w:szCs w:val="22"/>
        </w:rPr>
      </w:pPr>
    </w:p>
    <w:p w:rsidR="00923406" w:rsidRPr="00923406" w:rsidRDefault="00923406" w:rsidP="00923406">
      <w:pPr>
        <w:spacing w:after="120" w:line="276" w:lineRule="auto"/>
        <w:ind w:right="-285"/>
        <w:jc w:val="both"/>
        <w:rPr>
          <w:rFonts w:ascii="Calibri" w:eastAsia="Calibri" w:hAnsi="Calibri" w:cs="Arial"/>
          <w:b/>
          <w:color w:val="auto"/>
          <w:sz w:val="22"/>
          <w:szCs w:val="22"/>
        </w:rPr>
      </w:pPr>
      <w:r w:rsidRPr="00923406">
        <w:rPr>
          <w:rFonts w:ascii="Calibri" w:eastAsia="Calibri" w:hAnsi="Calibri" w:cs="Arial"/>
          <w:color w:val="auto"/>
          <w:sz w:val="22"/>
          <w:szCs w:val="22"/>
        </w:rPr>
        <w:t xml:space="preserve">The precise definition of this indicator is: </w:t>
      </w:r>
      <w:r w:rsidRPr="00923406">
        <w:rPr>
          <w:rFonts w:ascii="Calibri" w:eastAsia="Calibri" w:hAnsi="Calibri" w:cs="Arial"/>
          <w:b/>
          <w:color w:val="auto"/>
          <w:sz w:val="22"/>
          <w:szCs w:val="22"/>
        </w:rPr>
        <w:t>“</w:t>
      </w:r>
      <w:r w:rsidRPr="00923406">
        <w:rPr>
          <w:rFonts w:ascii="Calibri" w:eastAsia="Calibri" w:hAnsi="Calibri" w:cs="Arial"/>
          <w:i/>
          <w:color w:val="auto"/>
          <w:sz w:val="22"/>
          <w:szCs w:val="22"/>
        </w:rPr>
        <w:t>The legal framework includes special measures to guarantee women’s equal rights to landownership and control”</w:t>
      </w:r>
      <w:r w:rsidRPr="00923406">
        <w:rPr>
          <w:rFonts w:ascii="Calibri" w:eastAsia="Calibri" w:hAnsi="Calibri" w:cs="Arial"/>
          <w:color w:val="auto"/>
          <w:sz w:val="22"/>
          <w:szCs w:val="22"/>
        </w:rPr>
        <w:t>. This is a binary indicator (yes/no).</w:t>
      </w:r>
      <w:r w:rsidRPr="00923406">
        <w:rPr>
          <w:rFonts w:ascii="Calibri" w:eastAsia="Calibri" w:hAnsi="Calibri" w:cs="Arial"/>
          <w:b/>
          <w:color w:val="auto"/>
          <w:sz w:val="22"/>
          <w:szCs w:val="22"/>
        </w:rPr>
        <w:t xml:space="preserve"> </w:t>
      </w:r>
    </w:p>
    <w:p w:rsidR="00923406" w:rsidRPr="00923406" w:rsidRDefault="00923406" w:rsidP="00923406">
      <w:pPr>
        <w:spacing w:after="120" w:line="276" w:lineRule="auto"/>
        <w:ind w:right="-285"/>
        <w:jc w:val="both"/>
        <w:rPr>
          <w:rFonts w:ascii="Calibri" w:eastAsia="Calibri" w:hAnsi="Calibri" w:cs="Arial"/>
          <w:color w:val="auto"/>
          <w:sz w:val="22"/>
          <w:szCs w:val="22"/>
        </w:rPr>
      </w:pPr>
      <w:r w:rsidRPr="00923406">
        <w:rPr>
          <w:rFonts w:ascii="Calibri" w:eastAsia="Calibri" w:hAnsi="Calibri" w:cs="Arial"/>
          <w:color w:val="auto"/>
          <w:sz w:val="22"/>
          <w:szCs w:val="22"/>
        </w:rPr>
        <w:t>The indicator monitors reforms that give women</w:t>
      </w:r>
      <w:r w:rsidRPr="00923406">
        <w:rPr>
          <w:rFonts w:ascii="Calibri" w:eastAsia="Calibri" w:hAnsi="Calibri" w:cs="Arial"/>
          <w:i/>
          <w:color w:val="auto"/>
          <w:sz w:val="22"/>
          <w:szCs w:val="22"/>
        </w:rPr>
        <w:t xml:space="preserve"> </w:t>
      </w:r>
      <w:r w:rsidRPr="00923406">
        <w:rPr>
          <w:rFonts w:ascii="Calibri" w:eastAsia="Calibri" w:hAnsi="Calibri" w:cs="Arial"/>
          <w:color w:val="auto"/>
          <w:sz w:val="22"/>
          <w:szCs w:val="22"/>
        </w:rPr>
        <w:t>equal rights to economic resources, as well as access to ownership and control over land. More specifically, the indicator allows for monitoring progress towards gender equity through the adoption of women-specific measures to promote women’s secure rights to land. The indicator has a value of one when at least one of the following applies:</w:t>
      </w:r>
    </w:p>
    <w:p w:rsidR="00923406" w:rsidRPr="00923406" w:rsidRDefault="00923406" w:rsidP="00923406">
      <w:pPr>
        <w:numPr>
          <w:ilvl w:val="0"/>
          <w:numId w:val="5"/>
        </w:numPr>
        <w:suppressAutoHyphens/>
        <w:spacing w:after="200" w:line="276" w:lineRule="auto"/>
        <w:ind w:right="-285"/>
        <w:contextualSpacing/>
        <w:jc w:val="both"/>
        <w:rPr>
          <w:rFonts w:ascii="Calibri" w:eastAsia="Calibri" w:hAnsi="Calibri" w:cs="Arial"/>
          <w:color w:val="auto"/>
          <w:sz w:val="22"/>
          <w:szCs w:val="22"/>
        </w:rPr>
      </w:pPr>
      <w:r w:rsidRPr="00923406">
        <w:rPr>
          <w:rFonts w:ascii="Calibri" w:eastAsia="Calibri" w:hAnsi="Calibri" w:cs="Arial"/>
          <w:color w:val="auto"/>
          <w:sz w:val="22"/>
          <w:szCs w:val="22"/>
        </w:rPr>
        <w:t>National legal framework gives priority to women heads of household under land distribution and titling programmes;</w:t>
      </w:r>
    </w:p>
    <w:p w:rsidR="00923406" w:rsidRPr="00923406" w:rsidRDefault="00923406" w:rsidP="00923406">
      <w:pPr>
        <w:numPr>
          <w:ilvl w:val="0"/>
          <w:numId w:val="5"/>
        </w:numPr>
        <w:suppressAutoHyphens/>
        <w:spacing w:after="200" w:line="276" w:lineRule="auto"/>
        <w:ind w:right="-285"/>
        <w:contextualSpacing/>
        <w:jc w:val="both"/>
        <w:rPr>
          <w:rFonts w:ascii="Calibri" w:eastAsia="Calibri" w:hAnsi="Calibri" w:cs="Arial"/>
          <w:color w:val="auto"/>
          <w:sz w:val="22"/>
          <w:szCs w:val="22"/>
        </w:rPr>
      </w:pPr>
      <w:r w:rsidRPr="00923406">
        <w:rPr>
          <w:rFonts w:ascii="Calibri" w:eastAsia="Calibri" w:hAnsi="Calibri" w:cs="Arial"/>
          <w:color w:val="auto"/>
          <w:sz w:val="22"/>
          <w:szCs w:val="22"/>
        </w:rPr>
        <w:t xml:space="preserve">National legal framework establishes targeted government funds to increase women access to land; </w:t>
      </w:r>
    </w:p>
    <w:p w:rsidR="00923406" w:rsidRPr="00923406" w:rsidRDefault="00923406" w:rsidP="00923406">
      <w:pPr>
        <w:numPr>
          <w:ilvl w:val="0"/>
          <w:numId w:val="5"/>
        </w:numPr>
        <w:suppressAutoHyphens/>
        <w:spacing w:after="200" w:line="276" w:lineRule="auto"/>
        <w:ind w:right="-285"/>
        <w:contextualSpacing/>
        <w:jc w:val="both"/>
        <w:rPr>
          <w:rFonts w:ascii="Calibri" w:eastAsia="Calibri" w:hAnsi="Calibri" w:cs="Arial"/>
          <w:color w:val="auto"/>
          <w:sz w:val="22"/>
          <w:szCs w:val="22"/>
        </w:rPr>
      </w:pPr>
      <w:r w:rsidRPr="00923406">
        <w:rPr>
          <w:rFonts w:ascii="Calibri" w:eastAsia="Calibri" w:hAnsi="Calibri" w:cs="Arial"/>
          <w:color w:val="auto"/>
          <w:sz w:val="22"/>
          <w:szCs w:val="22"/>
        </w:rPr>
        <w:t xml:space="preserve">Joint titling of private property (or user rights) is compulsory in the registration process for husband and wife; </w:t>
      </w:r>
    </w:p>
    <w:p w:rsidR="00923406" w:rsidRPr="00923406" w:rsidRDefault="00923406" w:rsidP="00923406">
      <w:pPr>
        <w:spacing w:line="276" w:lineRule="auto"/>
        <w:ind w:right="-285"/>
        <w:jc w:val="both"/>
        <w:rPr>
          <w:rFonts w:ascii="Calibri" w:eastAsia="Calibri" w:hAnsi="Calibri" w:cs="Arial"/>
          <w:color w:val="auto"/>
          <w:sz w:val="22"/>
          <w:szCs w:val="22"/>
        </w:rPr>
      </w:pPr>
      <w:r w:rsidRPr="00923406">
        <w:rPr>
          <w:rFonts w:ascii="Calibri" w:eastAsia="Calibri" w:hAnsi="Calibri" w:cs="Arial"/>
          <w:color w:val="auto"/>
          <w:sz w:val="22"/>
          <w:szCs w:val="22"/>
        </w:rPr>
        <w:t>The proposed indicator is supported by a number of international instruments, including:</w:t>
      </w:r>
    </w:p>
    <w:p w:rsidR="00923406" w:rsidRPr="00923406" w:rsidRDefault="00923406" w:rsidP="00923406">
      <w:pPr>
        <w:numPr>
          <w:ilvl w:val="0"/>
          <w:numId w:val="5"/>
        </w:numPr>
        <w:suppressAutoHyphens/>
        <w:spacing w:after="200" w:line="276" w:lineRule="auto"/>
        <w:ind w:right="-285"/>
        <w:contextualSpacing/>
        <w:rPr>
          <w:rFonts w:ascii="Calibri" w:eastAsia="Calibri" w:hAnsi="Calibri" w:cs="Arial"/>
          <w:color w:val="auto"/>
          <w:sz w:val="22"/>
          <w:szCs w:val="22"/>
        </w:rPr>
      </w:pPr>
      <w:r w:rsidRPr="00923406">
        <w:rPr>
          <w:rFonts w:ascii="Calibri" w:eastAsia="Calibri" w:hAnsi="Calibri" w:cs="Arial"/>
          <w:color w:val="auto"/>
          <w:sz w:val="22"/>
          <w:szCs w:val="22"/>
        </w:rPr>
        <w:t>Maputo Protocol, Article 19(c):</w:t>
      </w:r>
    </w:p>
    <w:p w:rsidR="00923406" w:rsidRPr="00923406" w:rsidRDefault="00923406" w:rsidP="00923406">
      <w:pPr>
        <w:numPr>
          <w:ilvl w:val="0"/>
          <w:numId w:val="5"/>
        </w:numPr>
        <w:suppressAutoHyphens/>
        <w:spacing w:after="200" w:line="276" w:lineRule="auto"/>
        <w:ind w:right="-285"/>
        <w:contextualSpacing/>
        <w:jc w:val="both"/>
        <w:rPr>
          <w:rFonts w:ascii="Calibri" w:eastAsia="Calibri" w:hAnsi="Calibri" w:cs="Arial"/>
          <w:color w:val="auto"/>
          <w:sz w:val="22"/>
          <w:szCs w:val="22"/>
        </w:rPr>
      </w:pPr>
      <w:r w:rsidRPr="00923406">
        <w:rPr>
          <w:rFonts w:ascii="Calibri" w:eastAsia="Calibri" w:hAnsi="Calibri" w:cs="Arial"/>
          <w:color w:val="auto"/>
          <w:sz w:val="22"/>
          <w:szCs w:val="22"/>
        </w:rPr>
        <w:t xml:space="preserve">“States Parties shall </w:t>
      </w:r>
      <w:r w:rsidRPr="00923406">
        <w:rPr>
          <w:rFonts w:ascii="Calibri" w:eastAsia="Calibri" w:hAnsi="Calibri" w:cs="Arial"/>
          <w:b/>
          <w:color w:val="auto"/>
          <w:sz w:val="22"/>
          <w:szCs w:val="22"/>
        </w:rPr>
        <w:t>take all appropriate measures to [...] promote women’s access to and control over productive resources</w:t>
      </w:r>
      <w:r w:rsidRPr="00923406">
        <w:rPr>
          <w:rFonts w:ascii="Calibri" w:eastAsia="Calibri" w:hAnsi="Calibri" w:cs="Arial"/>
          <w:color w:val="auto"/>
          <w:sz w:val="22"/>
          <w:szCs w:val="22"/>
        </w:rPr>
        <w:t xml:space="preserve"> such as land and guarantee their right to property”; </w:t>
      </w:r>
    </w:p>
    <w:p w:rsidR="00923406" w:rsidRPr="00923406" w:rsidRDefault="00923406" w:rsidP="00923406">
      <w:pPr>
        <w:numPr>
          <w:ilvl w:val="0"/>
          <w:numId w:val="5"/>
        </w:numPr>
        <w:suppressAutoHyphens/>
        <w:spacing w:after="200" w:line="276" w:lineRule="auto"/>
        <w:ind w:right="-285"/>
        <w:contextualSpacing/>
        <w:jc w:val="both"/>
        <w:rPr>
          <w:rFonts w:ascii="Calibri" w:eastAsia="Calibri" w:hAnsi="Calibri" w:cs="Arial"/>
          <w:color w:val="auto"/>
          <w:sz w:val="22"/>
          <w:szCs w:val="22"/>
        </w:rPr>
      </w:pPr>
      <w:r w:rsidRPr="00923406">
        <w:rPr>
          <w:rFonts w:ascii="Calibri" w:eastAsia="Calibri" w:hAnsi="Calibri" w:cs="Arial"/>
          <w:color w:val="auto"/>
          <w:sz w:val="22"/>
          <w:szCs w:val="22"/>
        </w:rPr>
        <w:t xml:space="preserve">It is in line with the Voluntary Guidelines for Responsible Governance of Tenure of Land, Fisheries and Forests (VGGT). Namely: </w:t>
      </w:r>
    </w:p>
    <w:p w:rsidR="00923406" w:rsidRPr="00923406" w:rsidRDefault="00923406" w:rsidP="00923406">
      <w:pPr>
        <w:numPr>
          <w:ilvl w:val="1"/>
          <w:numId w:val="3"/>
        </w:numPr>
        <w:suppressAutoHyphens/>
        <w:spacing w:after="200" w:line="276" w:lineRule="auto"/>
        <w:ind w:right="-285"/>
        <w:contextualSpacing/>
        <w:jc w:val="both"/>
        <w:rPr>
          <w:rFonts w:ascii="Calibri" w:eastAsia="Calibri" w:hAnsi="Calibri" w:cs="Arial"/>
          <w:color w:val="auto"/>
          <w:sz w:val="22"/>
          <w:szCs w:val="22"/>
        </w:rPr>
      </w:pPr>
      <w:r w:rsidRPr="00923406">
        <w:rPr>
          <w:rFonts w:ascii="Calibri" w:eastAsia="Calibri" w:hAnsi="Calibri" w:cs="Arial"/>
          <w:color w:val="auto"/>
          <w:sz w:val="22"/>
          <w:szCs w:val="22"/>
        </w:rPr>
        <w:t xml:space="preserve">Principle 4 on Gender equality: “Ensure the equal right of women and men to the enjoyment of all human rights, while acknowledging differences between women and men and </w:t>
      </w:r>
      <w:r w:rsidRPr="00923406">
        <w:rPr>
          <w:rFonts w:ascii="Calibri" w:eastAsia="Calibri" w:hAnsi="Calibri" w:cs="Arial"/>
          <w:b/>
          <w:color w:val="auto"/>
          <w:sz w:val="22"/>
          <w:szCs w:val="22"/>
        </w:rPr>
        <w:t>taking specific measures</w:t>
      </w:r>
      <w:r w:rsidRPr="00923406">
        <w:rPr>
          <w:rFonts w:ascii="Calibri" w:eastAsia="Calibri" w:hAnsi="Calibri" w:cs="Arial"/>
          <w:color w:val="auto"/>
          <w:sz w:val="22"/>
          <w:szCs w:val="22"/>
        </w:rPr>
        <w:t xml:space="preserve"> aimed at accelerating de facto equality when necessary. States should ensure that women and girls have equal tenure rights and access to land, fisheries and forests independent of their civil and marital status.”</w:t>
      </w:r>
    </w:p>
    <w:p w:rsidR="00923406" w:rsidRPr="00923406" w:rsidRDefault="00923406" w:rsidP="00923406">
      <w:pPr>
        <w:numPr>
          <w:ilvl w:val="1"/>
          <w:numId w:val="3"/>
        </w:numPr>
        <w:suppressAutoHyphens/>
        <w:spacing w:before="240" w:after="200" w:line="276" w:lineRule="auto"/>
        <w:ind w:right="-285"/>
        <w:contextualSpacing/>
        <w:jc w:val="both"/>
        <w:rPr>
          <w:rFonts w:ascii="Calibri" w:eastAsia="Calibri" w:hAnsi="Calibri" w:cs="Arial"/>
          <w:color w:val="auto"/>
          <w:sz w:val="22"/>
          <w:szCs w:val="22"/>
        </w:rPr>
      </w:pPr>
      <w:r w:rsidRPr="00923406">
        <w:rPr>
          <w:rFonts w:ascii="Calibri" w:eastAsia="Calibri" w:hAnsi="Calibri" w:cs="Arial"/>
          <w:color w:val="auto"/>
          <w:sz w:val="22"/>
          <w:szCs w:val="22"/>
        </w:rPr>
        <w:t>Section 25.6: “</w:t>
      </w:r>
      <w:r w:rsidRPr="00923406">
        <w:rPr>
          <w:rFonts w:ascii="Calibri" w:eastAsia="Calibri" w:hAnsi="Calibri" w:cs="Arial"/>
          <w:b/>
          <w:color w:val="auto"/>
          <w:sz w:val="22"/>
          <w:szCs w:val="22"/>
        </w:rPr>
        <w:t>Special procedures</w:t>
      </w:r>
      <w:r w:rsidRPr="00923406">
        <w:rPr>
          <w:rFonts w:ascii="Calibri" w:eastAsia="Calibri" w:hAnsi="Calibri" w:cs="Arial"/>
          <w:color w:val="auto"/>
          <w:sz w:val="22"/>
          <w:szCs w:val="22"/>
        </w:rPr>
        <w:t xml:space="preserve"> should, where possible, provide the vulnerable, including widows and orphans, with secure access to land, fisheries and forests.” </w:t>
      </w:r>
    </w:p>
    <w:p w:rsidR="00923406" w:rsidRPr="00923406" w:rsidRDefault="00923406" w:rsidP="00923406">
      <w:pPr>
        <w:numPr>
          <w:ilvl w:val="0"/>
          <w:numId w:val="2"/>
        </w:numPr>
        <w:suppressAutoHyphens/>
        <w:spacing w:before="240" w:after="200" w:line="276" w:lineRule="auto"/>
        <w:ind w:left="714" w:right="-285" w:hanging="357"/>
        <w:rPr>
          <w:rFonts w:ascii="Calibri" w:eastAsia="Times New Roman" w:hAnsi="Calibri"/>
          <w:b/>
          <w:bCs/>
          <w:iCs/>
          <w:color w:val="auto"/>
          <w:sz w:val="22"/>
          <w:szCs w:val="22"/>
        </w:rPr>
      </w:pPr>
      <w:r w:rsidRPr="00923406">
        <w:rPr>
          <w:rFonts w:ascii="Calibri" w:eastAsia="Times New Roman" w:hAnsi="Calibri"/>
          <w:b/>
          <w:bCs/>
          <w:iCs/>
          <w:color w:val="auto"/>
          <w:sz w:val="22"/>
          <w:szCs w:val="22"/>
        </w:rPr>
        <w:t>How is the indicator linked to the specific TARGET as worded in the OWG report and copied above?</w:t>
      </w:r>
    </w:p>
    <w:p w:rsidR="00923406" w:rsidRPr="00923406" w:rsidRDefault="00923406" w:rsidP="00923406">
      <w:pPr>
        <w:spacing w:after="120" w:line="276" w:lineRule="auto"/>
        <w:ind w:right="-285"/>
        <w:jc w:val="both"/>
        <w:rPr>
          <w:rFonts w:ascii="Calibri" w:eastAsia="Calibri" w:hAnsi="Calibri" w:cs="Arial"/>
          <w:i/>
          <w:color w:val="auto"/>
          <w:sz w:val="22"/>
          <w:szCs w:val="22"/>
        </w:rPr>
      </w:pPr>
      <w:r w:rsidRPr="00923406">
        <w:rPr>
          <w:rFonts w:ascii="Calibri" w:eastAsia="Calibri" w:hAnsi="Calibri" w:cs="Arial"/>
          <w:color w:val="auto"/>
          <w:sz w:val="22"/>
          <w:szCs w:val="22"/>
        </w:rPr>
        <w:t>The indicator is related to</w:t>
      </w:r>
      <w:r w:rsidRPr="00923406">
        <w:rPr>
          <w:rFonts w:ascii="Calibri" w:eastAsia="Calibri" w:hAnsi="Calibri" w:cs="Arial"/>
          <w:i/>
          <w:color w:val="auto"/>
          <w:sz w:val="22"/>
          <w:szCs w:val="22"/>
        </w:rPr>
        <w:t xml:space="preserve"> </w:t>
      </w:r>
      <w:r w:rsidRPr="00923406">
        <w:rPr>
          <w:rFonts w:ascii="Calibri" w:eastAsia="Calibri" w:hAnsi="Calibri" w:cs="Arial"/>
          <w:color w:val="auto"/>
          <w:sz w:val="22"/>
          <w:szCs w:val="22"/>
          <w:u w:val="single"/>
        </w:rPr>
        <w:t>Goal 5, target 5a:</w:t>
      </w:r>
      <w:r w:rsidRPr="00923406">
        <w:rPr>
          <w:rFonts w:ascii="Calibri" w:eastAsia="Calibri" w:hAnsi="Calibri" w:cs="Arial"/>
          <w:i/>
          <w:color w:val="auto"/>
          <w:sz w:val="22"/>
          <w:szCs w:val="22"/>
        </w:rPr>
        <w:t xml:space="preserve"> “Undertake reforms to give women equal rights to economic resources, as well as access to ownership and control over land and other forms of property, financial services, inheritance and natural resources, in accordance with national laws.” </w:t>
      </w:r>
    </w:p>
    <w:p w:rsidR="00923406" w:rsidRPr="00923406" w:rsidRDefault="00923406" w:rsidP="00923406">
      <w:pPr>
        <w:spacing w:after="120" w:line="276" w:lineRule="auto"/>
        <w:ind w:right="-285"/>
        <w:jc w:val="both"/>
        <w:rPr>
          <w:rFonts w:ascii="Calibri" w:eastAsia="Calibri" w:hAnsi="Calibri"/>
          <w:color w:val="auto"/>
          <w:sz w:val="22"/>
          <w:szCs w:val="22"/>
        </w:rPr>
      </w:pPr>
      <w:r w:rsidRPr="00923406">
        <w:rPr>
          <w:rFonts w:ascii="Calibri" w:eastAsia="Calibri" w:hAnsi="Calibri"/>
          <w:color w:val="auto"/>
          <w:sz w:val="22"/>
          <w:szCs w:val="22"/>
        </w:rPr>
        <w:t xml:space="preserve">In particular, the indicator monitors legal reforms that promote </w:t>
      </w:r>
      <w:r w:rsidRPr="00923406">
        <w:rPr>
          <w:rFonts w:ascii="Calibri" w:eastAsia="Calibri" w:hAnsi="Calibri"/>
          <w:b/>
          <w:color w:val="auto"/>
          <w:sz w:val="22"/>
          <w:szCs w:val="22"/>
        </w:rPr>
        <w:t>women’s land rights and increase their access and ownership of productive resources</w:t>
      </w:r>
      <w:r w:rsidRPr="00923406">
        <w:rPr>
          <w:rFonts w:ascii="Calibri" w:eastAsia="Calibri" w:hAnsi="Calibri"/>
          <w:color w:val="auto"/>
          <w:sz w:val="22"/>
          <w:szCs w:val="22"/>
        </w:rPr>
        <w:t xml:space="preserve"> through land ownership or other special measures. It provides a good indication of government’s efforts to move towards the realization of women’s land rights and more gender-equal land tenure. </w:t>
      </w:r>
    </w:p>
    <w:p w:rsidR="00923406" w:rsidRPr="00923406" w:rsidRDefault="00923406" w:rsidP="00923406">
      <w:pPr>
        <w:spacing w:after="120" w:line="276" w:lineRule="auto"/>
        <w:ind w:right="-285"/>
        <w:jc w:val="both"/>
        <w:rPr>
          <w:rFonts w:ascii="Calibri" w:eastAsia="Calibri" w:hAnsi="Calibri"/>
          <w:color w:val="auto"/>
          <w:sz w:val="22"/>
          <w:szCs w:val="22"/>
        </w:rPr>
      </w:pPr>
    </w:p>
    <w:p w:rsidR="00923406" w:rsidRPr="00923406" w:rsidRDefault="00923406" w:rsidP="00923406">
      <w:pPr>
        <w:numPr>
          <w:ilvl w:val="0"/>
          <w:numId w:val="2"/>
        </w:numPr>
        <w:suppressAutoHyphens/>
        <w:spacing w:before="480" w:after="200" w:line="276" w:lineRule="auto"/>
        <w:ind w:left="714" w:right="-285" w:hanging="357"/>
        <w:rPr>
          <w:rFonts w:ascii="Calibri" w:eastAsia="Times New Roman" w:hAnsi="Calibri"/>
          <w:b/>
          <w:bCs/>
          <w:iCs/>
          <w:color w:val="auto"/>
          <w:sz w:val="22"/>
          <w:szCs w:val="22"/>
        </w:rPr>
      </w:pPr>
      <w:r w:rsidRPr="00923406">
        <w:rPr>
          <w:rFonts w:ascii="Calibri" w:eastAsia="Times New Roman" w:hAnsi="Calibri"/>
          <w:b/>
          <w:bCs/>
          <w:iCs/>
          <w:color w:val="auto"/>
          <w:sz w:val="22"/>
          <w:szCs w:val="22"/>
        </w:rPr>
        <w:lastRenderedPageBreak/>
        <w:t>Does the indicator already exist and is it regularly reported?</w:t>
      </w:r>
    </w:p>
    <w:p w:rsidR="00923406" w:rsidRPr="00923406" w:rsidRDefault="00923406" w:rsidP="00923406">
      <w:pPr>
        <w:spacing w:line="276" w:lineRule="auto"/>
        <w:ind w:left="357" w:right="-285"/>
        <w:rPr>
          <w:rFonts w:ascii="Calibri" w:eastAsia="Times New Roman" w:hAnsi="Calibri"/>
          <w:b/>
          <w:bCs/>
          <w:iCs/>
          <w:color w:val="auto"/>
          <w:sz w:val="22"/>
          <w:szCs w:val="22"/>
        </w:rPr>
      </w:pPr>
    </w:p>
    <w:p w:rsidR="00923406" w:rsidRPr="00923406" w:rsidRDefault="00923406" w:rsidP="00923406">
      <w:pPr>
        <w:spacing w:after="120" w:line="276" w:lineRule="auto"/>
        <w:ind w:right="-285"/>
        <w:jc w:val="both"/>
        <w:rPr>
          <w:rFonts w:ascii="Calibri" w:eastAsia="Calibri" w:hAnsi="Calibri" w:cs="Arial"/>
          <w:color w:val="auto"/>
          <w:sz w:val="22"/>
          <w:szCs w:val="22"/>
        </w:rPr>
      </w:pPr>
      <w:r w:rsidRPr="00923406">
        <w:rPr>
          <w:rFonts w:ascii="Calibri" w:eastAsia="Calibri" w:hAnsi="Calibri"/>
          <w:color w:val="auto"/>
          <w:sz w:val="22"/>
          <w:szCs w:val="22"/>
          <w:u w:val="single"/>
        </w:rPr>
        <w:t>The indicator exists. It</w:t>
      </w:r>
      <w:r w:rsidRPr="00923406">
        <w:rPr>
          <w:rFonts w:ascii="Calibri" w:eastAsia="Calibri" w:hAnsi="Calibri" w:cs="Arial"/>
          <w:color w:val="auto"/>
          <w:sz w:val="22"/>
          <w:szCs w:val="22"/>
        </w:rPr>
        <w:t xml:space="preserve"> is being collected through the analysis of the legal and policy framework as part of the Legislation Assessment Tool for gender-equitable land tenure (LAT) of the Gender and Land Rights Database.</w:t>
      </w:r>
    </w:p>
    <w:p w:rsidR="00923406" w:rsidRPr="00923406" w:rsidRDefault="00923406" w:rsidP="00923406">
      <w:pPr>
        <w:spacing w:after="120" w:line="276" w:lineRule="auto"/>
        <w:ind w:right="-285"/>
        <w:jc w:val="both"/>
        <w:rPr>
          <w:rFonts w:ascii="Calibri" w:eastAsia="Calibri" w:hAnsi="Calibri"/>
          <w:color w:val="auto"/>
          <w:sz w:val="22"/>
          <w:szCs w:val="22"/>
        </w:rPr>
      </w:pPr>
      <w:r w:rsidRPr="00923406">
        <w:rPr>
          <w:rFonts w:ascii="Calibri" w:eastAsia="Calibri" w:hAnsi="Calibri"/>
          <w:color w:val="auto"/>
          <w:sz w:val="22"/>
          <w:szCs w:val="22"/>
        </w:rPr>
        <w:t xml:space="preserve">The indicator is not reported as such by the countries, but information can be extrapolated from the countries’ national laws. The legal information is mainly accessible in FAO’s </w:t>
      </w:r>
      <w:hyperlink r:id="rId6" w:history="1">
        <w:r w:rsidRPr="00923406">
          <w:rPr>
            <w:rFonts w:ascii="Calibri" w:eastAsia="Calibri" w:hAnsi="Calibri"/>
            <w:color w:val="auto"/>
            <w:sz w:val="22"/>
            <w:szCs w:val="22"/>
            <w:u w:val="single"/>
          </w:rPr>
          <w:t>FAOLEX</w:t>
        </w:r>
      </w:hyperlink>
      <w:r w:rsidRPr="00923406">
        <w:rPr>
          <w:rFonts w:ascii="Calibri" w:eastAsia="Calibri" w:hAnsi="Calibri"/>
          <w:color w:val="auto"/>
          <w:sz w:val="22"/>
          <w:szCs w:val="22"/>
          <w:u w:val="single"/>
        </w:rPr>
        <w:t xml:space="preserve"> a database that collects </w:t>
      </w:r>
      <w:r w:rsidRPr="00923406">
        <w:rPr>
          <w:rFonts w:ascii="Calibri" w:eastAsia="Calibri" w:hAnsi="Calibri"/>
          <w:color w:val="auto"/>
          <w:sz w:val="22"/>
          <w:szCs w:val="22"/>
        </w:rPr>
        <w:t xml:space="preserve">legal material from the official gazettes, compiling texts of laws and regulations that are sent by FAO's Member Nations pursuant to Article XI of the FAO Constitution. The information is also available in as well as </w:t>
      </w:r>
      <w:proofErr w:type="spellStart"/>
      <w:r w:rsidRPr="00923406">
        <w:rPr>
          <w:rFonts w:ascii="Calibri" w:eastAsia="Calibri" w:hAnsi="Calibri"/>
          <w:color w:val="auto"/>
          <w:sz w:val="22"/>
          <w:szCs w:val="22"/>
        </w:rPr>
        <w:t>LandWise</w:t>
      </w:r>
      <w:proofErr w:type="spellEnd"/>
      <w:r w:rsidRPr="00923406">
        <w:rPr>
          <w:rFonts w:ascii="Calibri" w:eastAsia="Calibri" w:hAnsi="Calibri"/>
          <w:color w:val="auto"/>
          <w:sz w:val="22"/>
          <w:szCs w:val="22"/>
        </w:rPr>
        <w:t xml:space="preserve"> (</w:t>
      </w:r>
      <w:proofErr w:type="spellStart"/>
      <w:r w:rsidRPr="00923406">
        <w:rPr>
          <w:rFonts w:ascii="Calibri" w:eastAsia="Calibri" w:hAnsi="Calibri"/>
          <w:color w:val="auto"/>
          <w:sz w:val="22"/>
          <w:szCs w:val="22"/>
        </w:rPr>
        <w:t>Landesa</w:t>
      </w:r>
      <w:proofErr w:type="spellEnd"/>
      <w:r w:rsidRPr="00923406">
        <w:rPr>
          <w:rFonts w:ascii="Calibri" w:eastAsia="Calibri" w:hAnsi="Calibri"/>
          <w:color w:val="auto"/>
          <w:sz w:val="22"/>
          <w:szCs w:val="22"/>
        </w:rPr>
        <w:t>).</w:t>
      </w:r>
    </w:p>
    <w:p w:rsidR="00923406" w:rsidRPr="00923406" w:rsidRDefault="00923406" w:rsidP="00923406">
      <w:pPr>
        <w:spacing w:after="120" w:line="276" w:lineRule="auto"/>
        <w:ind w:right="-285"/>
        <w:jc w:val="both"/>
        <w:rPr>
          <w:rFonts w:ascii="Calibri" w:eastAsia="Calibri" w:hAnsi="Calibri"/>
          <w:color w:val="auto"/>
          <w:sz w:val="22"/>
          <w:szCs w:val="22"/>
        </w:rPr>
      </w:pPr>
      <w:r w:rsidRPr="00923406">
        <w:rPr>
          <w:rFonts w:ascii="Calibri" w:eastAsia="Calibri" w:hAnsi="Calibri"/>
          <w:color w:val="auto"/>
          <w:sz w:val="22"/>
          <w:szCs w:val="22"/>
        </w:rPr>
        <w:t xml:space="preserve">The indicator is disseminated through the </w:t>
      </w:r>
      <w:hyperlink r:id="rId7" w:history="1">
        <w:r w:rsidRPr="00923406">
          <w:rPr>
            <w:rFonts w:ascii="Calibri" w:eastAsia="Calibri" w:hAnsi="Calibri"/>
            <w:color w:val="auto"/>
            <w:sz w:val="22"/>
            <w:szCs w:val="22"/>
            <w:u w:val="single"/>
          </w:rPr>
          <w:t>FAO’s Gender and Land Rights database</w:t>
        </w:r>
      </w:hyperlink>
      <w:r w:rsidRPr="00923406">
        <w:rPr>
          <w:rFonts w:ascii="Calibri" w:eastAsia="Calibri" w:hAnsi="Calibri"/>
          <w:color w:val="auto"/>
          <w:sz w:val="22"/>
          <w:szCs w:val="22"/>
          <w:u w:val="single"/>
        </w:rPr>
        <w:t xml:space="preserve"> (GLRD) </w:t>
      </w:r>
      <w:r w:rsidRPr="00923406">
        <w:rPr>
          <w:rFonts w:ascii="Calibri" w:eastAsia="Calibri" w:hAnsi="Calibri"/>
          <w:color w:val="auto"/>
          <w:sz w:val="22"/>
          <w:szCs w:val="22"/>
        </w:rPr>
        <w:t xml:space="preserve">through its </w:t>
      </w:r>
      <w:hyperlink r:id="rId8" w:history="1">
        <w:r w:rsidRPr="00923406">
          <w:rPr>
            <w:rFonts w:ascii="Calibri" w:eastAsia="Calibri" w:hAnsi="Calibri"/>
            <w:color w:val="auto"/>
            <w:sz w:val="22"/>
            <w:szCs w:val="22"/>
            <w:u w:val="single"/>
          </w:rPr>
          <w:t>Legislation Assessment Tool</w:t>
        </w:r>
      </w:hyperlink>
      <w:r w:rsidRPr="00923406">
        <w:rPr>
          <w:rFonts w:ascii="Calibri" w:eastAsia="Calibri" w:hAnsi="Calibri"/>
          <w:color w:val="auto"/>
          <w:sz w:val="22"/>
          <w:szCs w:val="22"/>
        </w:rPr>
        <w:t>.</w:t>
      </w:r>
    </w:p>
    <w:p w:rsidR="00923406" w:rsidRPr="00923406" w:rsidRDefault="00923406" w:rsidP="00923406">
      <w:pPr>
        <w:spacing w:line="276" w:lineRule="auto"/>
        <w:ind w:right="-285"/>
        <w:jc w:val="both"/>
        <w:rPr>
          <w:rFonts w:ascii="Calibri" w:eastAsia="Calibri" w:hAnsi="Calibri"/>
          <w:color w:val="auto"/>
          <w:sz w:val="22"/>
          <w:szCs w:val="22"/>
        </w:rPr>
      </w:pPr>
      <w:r w:rsidRPr="00923406">
        <w:rPr>
          <w:rFonts w:ascii="Calibri" w:eastAsia="Calibri" w:hAnsi="Calibri"/>
          <w:color w:val="auto"/>
          <w:sz w:val="22"/>
          <w:szCs w:val="22"/>
        </w:rPr>
        <w:t xml:space="preserve">The indicator has been applied to 18 countries and the results are available on the LAT map of the GLRD. The complete LAT analysis can be expanded to 83 countries and validated by national legal experts with a total investment of US$450,000 partly funded by FAO. Results are comparable across countries; however, the indicator available in the GRLD only applies to the national legal framework and does not include regional legal frameworks. </w:t>
      </w:r>
    </w:p>
    <w:p w:rsidR="00923406" w:rsidRPr="00923406" w:rsidRDefault="00923406" w:rsidP="00923406">
      <w:pPr>
        <w:spacing w:line="276" w:lineRule="auto"/>
        <w:ind w:right="-285"/>
        <w:jc w:val="both"/>
        <w:rPr>
          <w:rFonts w:ascii="Calibri" w:eastAsia="Calibri" w:hAnsi="Calibri"/>
          <w:color w:val="auto"/>
          <w:sz w:val="22"/>
          <w:szCs w:val="22"/>
        </w:rPr>
      </w:pPr>
    </w:p>
    <w:p w:rsidR="00923406" w:rsidRPr="00923406" w:rsidRDefault="00923406" w:rsidP="00923406">
      <w:pPr>
        <w:keepNext/>
        <w:numPr>
          <w:ilvl w:val="0"/>
          <w:numId w:val="2"/>
        </w:numPr>
        <w:suppressAutoHyphens/>
        <w:spacing w:after="200" w:line="276" w:lineRule="auto"/>
        <w:ind w:right="-285"/>
        <w:jc w:val="both"/>
        <w:outlineLvl w:val="2"/>
        <w:rPr>
          <w:rFonts w:ascii="Calibri" w:eastAsia="Times New Roman" w:hAnsi="Calibri"/>
          <w:b/>
          <w:bCs/>
          <w:iCs/>
          <w:color w:val="auto"/>
          <w:sz w:val="22"/>
          <w:szCs w:val="22"/>
        </w:rPr>
      </w:pPr>
      <w:r w:rsidRPr="00923406">
        <w:rPr>
          <w:rFonts w:ascii="Calibri" w:eastAsia="Times New Roman" w:hAnsi="Calibri"/>
          <w:b/>
          <w:bCs/>
          <w:iCs/>
          <w:color w:val="auto"/>
          <w:sz w:val="22"/>
          <w:szCs w:val="22"/>
        </w:rPr>
        <w:t>Comment on the reliability, potential coverage, comparability across countries, and the possibility to compute the indicator at sub-national level.</w:t>
      </w:r>
    </w:p>
    <w:p w:rsidR="00923406" w:rsidRPr="00923406" w:rsidRDefault="00923406" w:rsidP="00923406">
      <w:pPr>
        <w:suppressAutoHyphens/>
        <w:spacing w:line="276" w:lineRule="auto"/>
        <w:ind w:right="-285"/>
        <w:rPr>
          <w:rFonts w:ascii="Calibri" w:eastAsia="SimSun" w:hAnsi="Calibri" w:cs="Calibri"/>
          <w:color w:val="auto"/>
          <w:sz w:val="16"/>
          <w:szCs w:val="22"/>
        </w:rPr>
      </w:pPr>
    </w:p>
    <w:p w:rsidR="00923406" w:rsidRPr="00923406" w:rsidRDefault="00923406" w:rsidP="00923406">
      <w:pPr>
        <w:spacing w:after="120" w:line="276" w:lineRule="auto"/>
        <w:ind w:right="-285"/>
        <w:jc w:val="both"/>
        <w:rPr>
          <w:rFonts w:ascii="Calibri" w:eastAsia="Calibri" w:hAnsi="Calibri"/>
          <w:color w:val="auto"/>
          <w:sz w:val="22"/>
          <w:szCs w:val="22"/>
          <w:u w:val="single"/>
        </w:rPr>
      </w:pPr>
      <w:r w:rsidRPr="00923406">
        <w:rPr>
          <w:rFonts w:ascii="Calibri" w:eastAsia="Calibri" w:hAnsi="Calibri"/>
          <w:bCs/>
          <w:iCs/>
          <w:color w:val="auto"/>
          <w:sz w:val="22"/>
          <w:szCs w:val="22"/>
          <w:u w:val="single"/>
        </w:rPr>
        <w:t>Reliability</w:t>
      </w:r>
    </w:p>
    <w:p w:rsidR="00923406" w:rsidRPr="00923406" w:rsidRDefault="00923406" w:rsidP="00923406">
      <w:pPr>
        <w:spacing w:after="120" w:line="276" w:lineRule="auto"/>
        <w:ind w:right="-285"/>
        <w:jc w:val="both"/>
        <w:rPr>
          <w:rFonts w:ascii="Calibri" w:eastAsia="Calibri" w:hAnsi="Calibri"/>
          <w:color w:val="auto"/>
          <w:sz w:val="22"/>
          <w:szCs w:val="22"/>
        </w:rPr>
      </w:pPr>
      <w:r w:rsidRPr="00923406">
        <w:rPr>
          <w:rFonts w:ascii="Calibri" w:eastAsia="Calibri" w:hAnsi="Calibri"/>
          <w:color w:val="auto"/>
          <w:sz w:val="22"/>
          <w:szCs w:val="22"/>
        </w:rPr>
        <w:t>We expect this indicator to be accurate because it reflects the existence of legal measures to promote women’s land rights and or productive resources. The indicator will have a value of 1 if one or more legal measures promote women’s land rights (as the examples shown above) exist in the country legal framework.</w:t>
      </w:r>
    </w:p>
    <w:p w:rsidR="00923406" w:rsidRPr="00923406" w:rsidRDefault="00923406" w:rsidP="00923406">
      <w:pPr>
        <w:spacing w:after="120" w:line="276" w:lineRule="auto"/>
        <w:ind w:right="-285"/>
        <w:jc w:val="both"/>
        <w:rPr>
          <w:rFonts w:ascii="Calibri" w:eastAsia="Calibri" w:hAnsi="Calibri"/>
          <w:color w:val="auto"/>
          <w:sz w:val="22"/>
          <w:szCs w:val="22"/>
          <w:u w:val="single"/>
        </w:rPr>
      </w:pPr>
      <w:r w:rsidRPr="00923406">
        <w:rPr>
          <w:rFonts w:ascii="Calibri" w:eastAsia="Calibri" w:hAnsi="Calibri"/>
          <w:bCs/>
          <w:iCs/>
          <w:color w:val="auto"/>
          <w:sz w:val="22"/>
          <w:szCs w:val="22"/>
          <w:u w:val="single"/>
        </w:rPr>
        <w:t>Coverage</w:t>
      </w:r>
    </w:p>
    <w:p w:rsidR="00923406" w:rsidRPr="00923406" w:rsidRDefault="00923406" w:rsidP="00923406">
      <w:pPr>
        <w:spacing w:after="120" w:line="276" w:lineRule="auto"/>
        <w:ind w:right="-285"/>
        <w:jc w:val="both"/>
        <w:rPr>
          <w:rFonts w:ascii="Calibri" w:eastAsia="Calibri" w:hAnsi="Calibri"/>
          <w:color w:val="auto"/>
          <w:sz w:val="22"/>
          <w:szCs w:val="22"/>
        </w:rPr>
      </w:pPr>
      <w:r w:rsidRPr="00923406">
        <w:rPr>
          <w:rFonts w:ascii="Calibri" w:eastAsia="Calibri" w:hAnsi="Calibri"/>
          <w:color w:val="auto"/>
          <w:sz w:val="22"/>
          <w:szCs w:val="22"/>
        </w:rPr>
        <w:t>The indicator is nationally representative insofar these special measures apply to the national level.</w:t>
      </w:r>
    </w:p>
    <w:p w:rsidR="00923406" w:rsidRPr="00923406" w:rsidRDefault="00923406" w:rsidP="00923406">
      <w:pPr>
        <w:spacing w:after="120" w:line="276" w:lineRule="auto"/>
        <w:ind w:right="-285"/>
        <w:jc w:val="both"/>
        <w:rPr>
          <w:rFonts w:ascii="Calibri" w:eastAsia="Calibri" w:hAnsi="Calibri"/>
          <w:color w:val="auto"/>
          <w:sz w:val="22"/>
          <w:szCs w:val="22"/>
          <w:u w:val="single"/>
        </w:rPr>
      </w:pPr>
      <w:r w:rsidRPr="00923406">
        <w:rPr>
          <w:rFonts w:ascii="Calibri" w:eastAsia="Calibri" w:hAnsi="Calibri"/>
          <w:bCs/>
          <w:iCs/>
          <w:color w:val="auto"/>
          <w:sz w:val="22"/>
          <w:szCs w:val="22"/>
          <w:u w:val="single"/>
        </w:rPr>
        <w:t>Comparability across countries</w:t>
      </w:r>
    </w:p>
    <w:p w:rsidR="00923406" w:rsidRPr="00923406" w:rsidRDefault="00923406" w:rsidP="00923406">
      <w:pPr>
        <w:spacing w:after="120" w:line="276" w:lineRule="auto"/>
        <w:ind w:right="-285"/>
        <w:jc w:val="both"/>
        <w:rPr>
          <w:rFonts w:ascii="Calibri" w:eastAsia="Calibri" w:hAnsi="Calibri"/>
          <w:color w:val="auto"/>
          <w:sz w:val="22"/>
          <w:szCs w:val="22"/>
        </w:rPr>
      </w:pPr>
      <w:r w:rsidRPr="00923406">
        <w:rPr>
          <w:rFonts w:ascii="Calibri" w:eastAsia="Calibri" w:hAnsi="Calibri"/>
          <w:color w:val="auto"/>
          <w:sz w:val="22"/>
          <w:szCs w:val="22"/>
        </w:rPr>
        <w:t xml:space="preserve">As mentioned above, the indicator is comparable across countries. Even if countries take different promotional measures according to their context, the indicator measures whether countries are undertaking any legal measure to promote women’s rights to land property and/or other productive resources.  </w:t>
      </w:r>
    </w:p>
    <w:p w:rsidR="00923406" w:rsidRPr="00923406" w:rsidRDefault="00923406" w:rsidP="00923406">
      <w:pPr>
        <w:spacing w:after="120" w:line="276" w:lineRule="auto"/>
        <w:ind w:right="-285"/>
        <w:jc w:val="both"/>
        <w:rPr>
          <w:rFonts w:ascii="Calibri" w:eastAsia="Calibri" w:hAnsi="Calibri"/>
          <w:color w:val="auto"/>
          <w:sz w:val="22"/>
          <w:szCs w:val="22"/>
          <w:u w:val="single"/>
        </w:rPr>
      </w:pPr>
      <w:r w:rsidRPr="00923406">
        <w:rPr>
          <w:rFonts w:ascii="Calibri" w:eastAsia="Calibri" w:hAnsi="Calibri"/>
          <w:bCs/>
          <w:iCs/>
          <w:color w:val="auto"/>
          <w:sz w:val="22"/>
          <w:szCs w:val="22"/>
          <w:u w:val="single"/>
        </w:rPr>
        <w:t>Sub-national estimates</w:t>
      </w:r>
    </w:p>
    <w:p w:rsidR="00923406" w:rsidRPr="00923406" w:rsidRDefault="00923406" w:rsidP="00923406">
      <w:pPr>
        <w:spacing w:after="120" w:line="276" w:lineRule="auto"/>
        <w:ind w:right="-285"/>
        <w:jc w:val="both"/>
        <w:rPr>
          <w:rFonts w:ascii="Calibri" w:eastAsia="Calibri" w:hAnsi="Calibri"/>
          <w:color w:val="auto"/>
          <w:sz w:val="22"/>
          <w:szCs w:val="22"/>
        </w:rPr>
      </w:pPr>
      <w:r w:rsidRPr="00923406">
        <w:rPr>
          <w:rFonts w:ascii="Calibri" w:eastAsia="Calibri" w:hAnsi="Calibri"/>
          <w:color w:val="auto"/>
          <w:sz w:val="22"/>
          <w:szCs w:val="22"/>
        </w:rPr>
        <w:t>The indicator can be used as a sub-national indicator when special laws and legal procedures pertaining to one geographic area is analysed. However, up till now this indicator is only available at national level.</w:t>
      </w:r>
    </w:p>
    <w:p w:rsidR="00923406" w:rsidRPr="00923406" w:rsidRDefault="00923406" w:rsidP="00923406">
      <w:pPr>
        <w:pageBreakBefore/>
        <w:shd w:val="clear" w:color="auto" w:fill="99FF99"/>
        <w:spacing w:after="200" w:line="276" w:lineRule="auto"/>
        <w:ind w:right="-285"/>
        <w:jc w:val="center"/>
        <w:outlineLvl w:val="1"/>
        <w:rPr>
          <w:rFonts w:ascii="Calibri" w:eastAsia="SimSun" w:hAnsi="Calibri"/>
          <w:color w:val="auto"/>
          <w:shd w:val="clear" w:color="auto" w:fill="F2F2F2"/>
        </w:rPr>
      </w:pPr>
      <w:r w:rsidRPr="00923406">
        <w:rPr>
          <w:rFonts w:ascii="Calibri" w:eastAsia="SimSun" w:hAnsi="Calibri"/>
          <w:b/>
          <w:color w:val="auto"/>
        </w:rPr>
        <w:lastRenderedPageBreak/>
        <w:t xml:space="preserve">Indicator 1.4.1 (Core) </w:t>
      </w:r>
      <w:r w:rsidRPr="00923406">
        <w:rPr>
          <w:rFonts w:ascii="Calibri" w:eastAsia="SimSun" w:hAnsi="Calibri"/>
          <w:b/>
          <w:color w:val="auto"/>
        </w:rPr>
        <w:br/>
        <w:t>“</w:t>
      </w:r>
      <w:r w:rsidRPr="00923406">
        <w:rPr>
          <w:rFonts w:ascii="Calibri" w:eastAsia="SimSun" w:hAnsi="Calibri"/>
          <w:color w:val="auto"/>
          <w:shd w:val="clear" w:color="auto" w:fill="99FF99"/>
        </w:rPr>
        <w:t>Percentage of adult female agricultural landowners out of total agricultural landowners (disaggregated by age groups, ethnicity and income levels)”</w:t>
      </w:r>
    </w:p>
    <w:p w:rsidR="00923406" w:rsidRPr="00923406" w:rsidRDefault="00923406" w:rsidP="00923406">
      <w:pPr>
        <w:suppressAutoHyphens/>
        <w:spacing w:after="200" w:line="276" w:lineRule="auto"/>
        <w:rPr>
          <w:rFonts w:ascii="Calibri" w:eastAsia="SimSun" w:hAnsi="Calibri"/>
          <w:color w:val="00000A"/>
        </w:rPr>
      </w:pPr>
    </w:p>
    <w:p w:rsidR="0035634B" w:rsidRPr="00923406" w:rsidRDefault="00923406" w:rsidP="00923406">
      <w:pPr>
        <w:tabs>
          <w:tab w:val="left" w:pos="0"/>
        </w:tabs>
        <w:suppressAutoHyphens/>
        <w:spacing w:after="200" w:line="276" w:lineRule="auto"/>
        <w:ind w:right="-143"/>
        <w:jc w:val="both"/>
        <w:rPr>
          <w:rFonts w:ascii="Calibri" w:eastAsia="SimSun" w:hAnsi="Calibri"/>
          <w:i/>
          <w:color w:val="00000A"/>
          <w:sz w:val="22"/>
        </w:rPr>
      </w:pPr>
      <w:r w:rsidRPr="00923406">
        <w:rPr>
          <w:rFonts w:ascii="Calibri" w:eastAsia="SimSun" w:hAnsi="Calibri"/>
          <w:i/>
          <w:color w:val="00000A"/>
          <w:sz w:val="22"/>
        </w:rPr>
        <w:t>While this indicator has been proposed for target 1.4, it is also considered relevant for target 5.a.</w:t>
      </w:r>
      <w:bookmarkStart w:id="1" w:name="_GoBack"/>
      <w:bookmarkEnd w:id="1"/>
    </w:p>
    <w:sectPr w:rsidR="0035634B" w:rsidRPr="0092340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866E2"/>
    <w:multiLevelType w:val="hybridMultilevel"/>
    <w:tmpl w:val="81F2AB0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23D84D42"/>
    <w:multiLevelType w:val="hybridMultilevel"/>
    <w:tmpl w:val="79542C7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4F262BD2"/>
    <w:multiLevelType w:val="hybridMultilevel"/>
    <w:tmpl w:val="C19C0810"/>
    <w:lvl w:ilvl="0" w:tplc="B096E15E">
      <w:start w:val="1"/>
      <w:numFmt w:val="decimal"/>
      <w:pStyle w:val="Heading31"/>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406"/>
    <w:rsid w:val="0035634B"/>
    <w:rsid w:val="00374D74"/>
    <w:rsid w:val="00923406"/>
    <w:rsid w:val="00AC1AA0"/>
    <w:rsid w:val="00F72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customStyle="1" w:styleId="Heading31">
    <w:name w:val="Heading 31"/>
    <w:basedOn w:val="ListParagraph"/>
    <w:next w:val="Normal"/>
    <w:uiPriority w:val="9"/>
    <w:unhideWhenUsed/>
    <w:qFormat/>
    <w:rsid w:val="00923406"/>
    <w:pPr>
      <w:keepNext/>
      <w:numPr>
        <w:numId w:val="1"/>
      </w:numPr>
      <w:spacing w:after="200" w:line="276" w:lineRule="auto"/>
      <w:ind w:left="360"/>
      <w:contextualSpacing w:val="0"/>
      <w:outlineLvl w:val="2"/>
    </w:pPr>
    <w:rPr>
      <w:rFonts w:ascii="Calibri" w:eastAsia="SimSun" w:hAnsi="Calibri"/>
      <w:b/>
      <w:color w:val="auto"/>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customStyle="1" w:styleId="Heading31">
    <w:name w:val="Heading 31"/>
    <w:basedOn w:val="ListParagraph"/>
    <w:next w:val="Normal"/>
    <w:uiPriority w:val="9"/>
    <w:unhideWhenUsed/>
    <w:qFormat/>
    <w:rsid w:val="00923406"/>
    <w:pPr>
      <w:keepNext/>
      <w:numPr>
        <w:numId w:val="1"/>
      </w:numPr>
      <w:spacing w:after="200" w:line="276" w:lineRule="auto"/>
      <w:ind w:left="360"/>
      <w:contextualSpacing w:val="0"/>
      <w:outlineLvl w:val="2"/>
    </w:pPr>
    <w:rPr>
      <w:rFonts w:ascii="Calibri" w:eastAsia="SimSun" w:hAnsi="Calibri"/>
      <w:b/>
      <w:color w:val="auto"/>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o.org/gender-landrights-database/legislation-assessment-tool/en/" TargetMode="External"/><Relationship Id="rId3" Type="http://schemas.microsoft.com/office/2007/relationships/stylesWithEffects" Target="stylesWithEffects.xml"/><Relationship Id="rId7" Type="http://schemas.openxmlformats.org/officeDocument/2006/relationships/hyperlink" Target="http://www.fao.org/gender/landrights/home/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uk/url?sa=t&amp;rct=j&amp;q=&amp;esrc=s&amp;source=web&amp;cd=1&amp;cad=rja&amp;uact=8&amp;ved=0CCEQFjAA&amp;url=http%3A%2F%2Ffaolex.fao.org%2F&amp;ei=pu68VMC-O4b4UIXmgNgI&amp;usg=AFQjCNEWz5NKXcJ52orCR5kicHuKtLYd8Q&amp;bvm=bv.83829542,d.d2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7844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2015-09-22T13:29:00Z</dcterms:created>
  <dcterms:modified xsi:type="dcterms:W3CDTF">2015-09-22T13:29:00Z</dcterms:modified>
</cp:coreProperties>
</file>